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13370"/>
      <w:bookmarkStart w:id="1" w:name="_Toc10169"/>
      <w:bookmarkStart w:id="2" w:name="_Toc9343"/>
      <w:bookmarkStart w:id="3" w:name="_Toc23449"/>
      <w:bookmarkStart w:id="4" w:name="_Toc15073"/>
      <w:bookmarkStart w:id="5" w:name="_Toc27029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罗定职业技术学院干部档案查借阅工作规定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规范学校干部档案的管理和利用工作，根据《干部档案工作条例》、中组部《关于进一步规范中管干部档案查借阅工作的通知》（组通字[2007]34号）、省委组织部《关于印发&lt;省管干部档案查借阅工作规定&gt;的通知》（粤组通[2008]30号）、云浮市委组织部《关于印发&lt;市管理干部档案查借阅工作规定&gt;的通知》（云组通[2008]42号）等规定，本着“严格管理、安全保密、规范程序、方便利用”的原则，结合我校实际，制定本规定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一、学校党委、党总支部（支部）、人事处及纪检监察处等部门，因工作需要，按程序审批后可查借阅学校干部档案。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其他部门确因工作需要查借阅的，按照隶属关系由上述单位代为查借阅（承办单位可派1名党员干部参加）。校外单位和部队机关因工作需要查阅我校干部档案的，参照我校查阅单位范围办理审批手续。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二、有下列事由之一，可查借阅学校干部档案：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1、干部考察、任免、调动、政治审查、组织处理、入党、出国（境）、退（离）休、工资待遇、治丧、制作档案副本等；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2、办理案件；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3、办理社会保险、公证；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4、经学校党委或学校领导批准进行的编写史修志、撰写大事记或人物传记、举办展览或纪念活动等。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查借阅学校干部档案，须填写《罗定职业技术学院干部档案查借阅审批表》（样式附后），按程序办理审批手续；因工作需要查借阅学校干部档案的，各系（院）由党总支部（支部）书记签字,盖该支部印章；其他部门由部门领导签字，盖本部门印章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部队团以上单位如需要查阅学校干部档案的，须事先函商学校档案主管部门同意后，由部队政治部主要负责人签字，盖政治部印章。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四、各查借档单位应对查借阅人员进行审查把关，查借阅人必须是中共党员和正式干部。因办理案件查借阅学校干部档案的，查借阅人员必须是案件主办单位的党员干部。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五、查借阅单位必须在《罗定职业技术学院干部档案查借阅审批表》签批之日起5个工作日内到学校档案室查借阅，查借阅人员须带上本人有效工作证件。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学校干部档案材料一般只能摘抄。特殊情况需要复制的，须事先在《罗定职业技术学院干部档案查借阅审批表》中列出需要复制的具体材料，由档案主管部门审批。摘抄、复制的档案材料，须经学校档案室审核并办理登记手续，使用后由查阅单位存档或登记销毁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七、学校干部档案一般不予外借。特殊情况确需借出使用的，必须履行审批手续，市区范围内的单位必须在5个工作日内归还，市区外的单位须在10个工作日内归还。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八、任何人不得查借阅本人及与其有夫妻关系、直系血亲关系、三代以内旁系血亲关系以及近姻亲关系的干部档案。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九、查借阅人员必须严格遵守保密制度和阅档规定，不得泄露或擅自对外公布学校干部档案内容；严禁涂改、圈划、污损、撤换、抽取、增添档案材料。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十、借出使用的干部档案和摘抄、复制的干部档案材料，要妥善保管，不得转借，不准无关人员和干部本人翻阅。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十一、寒、暑假期间干部档案停止外借，已经借出的档案在放假前应一律归还入库。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十二、对违反本规定的行为，按照《中华人民共和国档案法》、《中国共产党纪律处分条例》等法律法规，视情况给予相应的纪律处分或追究法律责任。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十三、本规定自公布之日起实施，由学校档案室负责解释。</w:t>
      </w:r>
    </w:p>
    <w:p>
      <w:pPr>
        <w:pStyle w:val="5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附件：罗定职业技术学院干部档案查借阅审批表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6" w:name="_GoBack"/>
      <w:bookmarkEnd w:id="6"/>
    </w:p>
    <w:p>
      <w:pPr>
        <w:pStyle w:val="5"/>
        <w:spacing w:before="0" w:beforeAutospacing="0" w:after="0" w:afterAutospacing="0" w:line="560" w:lineRule="exact"/>
        <w:jc w:val="center"/>
        <w:rPr>
          <w:rFonts w:ascii="宋体" w:hAnsi="宋体" w:eastAsia="宋体" w:cs="宋体"/>
          <w:color w:val="000000" w:themeColor="text1"/>
          <w:spacing w:val="20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20"/>
          <w:kern w:val="2"/>
          <w:sz w:val="32"/>
          <w:szCs w:val="32"/>
          <w14:textFill>
            <w14:solidFill>
              <w14:schemeClr w14:val="tx1"/>
            </w14:solidFill>
          </w14:textFill>
        </w:rPr>
        <w:t>罗定职业技术学院干部档案查借阅审批表</w:t>
      </w:r>
      <w:r>
        <w:rPr>
          <w:rFonts w:ascii="宋体" w:hAnsi="宋体" w:eastAsia="宋体" w:cs="宋体"/>
          <w:color w:val="000000" w:themeColor="text1"/>
          <w:spacing w:val="20"/>
          <w:kern w:val="2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353695</wp:posOffset>
                </wp:positionV>
                <wp:extent cx="1257300" cy="495300"/>
                <wp:effectExtent l="1905" t="4445" r="17145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pt;margin-top:27.85pt;height:39pt;width:99pt;z-index:251715584;mso-width-relative:page;mso-height-relative:page;" filled="f" stroked="t" coordsize="21600,21600" o:gfxdata="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yey6nYAAAACgEA&#10;AA8AAAAAAAAAAQAgAAAAIgAAAGRycy9kb3ducmV2LnhtbFBLAQIUABQAAAAIAIdO4kBm61Xg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W w:w="9707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393"/>
        <w:gridCol w:w="1487"/>
        <w:gridCol w:w="324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-65405</wp:posOffset>
                      </wp:positionV>
                      <wp:extent cx="635" cy="0"/>
                      <wp:effectExtent l="0" t="0" r="0" b="0"/>
                      <wp:wrapNone/>
                      <wp:docPr id="1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-7.2pt;margin-top:-5.15pt;height:0pt;width:0.05pt;z-index:251714560;mso-width-relative:page;mso-height-relative:page;" filled="f" stroked="t" coordsize="21600,21600" o:gfxdata="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07ghdUAAAALAQAADwAAAAAAAAAB&#10;ACAAAAAiAAAAZHJzL2Rvd25yZXYueG1sUEsBAhQAFAAAAAgAh07iQItWAazaAQAAoA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 xml:space="preserve">     内  容</w:t>
            </w:r>
          </w:p>
          <w:p>
            <w:pPr>
              <w:pStyle w:val="5"/>
              <w:spacing w:line="28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项   目</w:t>
            </w:r>
          </w:p>
        </w:tc>
        <w:tc>
          <w:tcPr>
            <w:tcW w:w="1487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40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5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60" w:type="dxa"/>
            <w:gridSpan w:val="2"/>
            <w:vMerge w:val="restar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查（借）档案对象</w:t>
            </w:r>
          </w:p>
        </w:tc>
        <w:tc>
          <w:tcPr>
            <w:tcW w:w="1487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60" w:type="dxa"/>
            <w:gridSpan w:val="2"/>
            <w:vMerge w:val="continue"/>
            <w:vAlign w:val="center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60" w:type="dxa"/>
            <w:gridSpan w:val="2"/>
            <w:vMerge w:val="restar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查（借）档案人员</w:t>
            </w:r>
          </w:p>
        </w:tc>
        <w:tc>
          <w:tcPr>
            <w:tcW w:w="1487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60" w:type="dxa"/>
            <w:gridSpan w:val="2"/>
            <w:vMerge w:val="continue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查（借）档案事由</w:t>
            </w:r>
          </w:p>
        </w:tc>
        <w:tc>
          <w:tcPr>
            <w:tcW w:w="7247" w:type="dxa"/>
            <w:gridSpan w:val="4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 xml:space="preserve"> 查档内容或借档时限</w:t>
            </w:r>
          </w:p>
        </w:tc>
        <w:tc>
          <w:tcPr>
            <w:tcW w:w="7247" w:type="dxa"/>
            <w:gridSpan w:val="4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 xml:space="preserve"> 需要复制的内容</w:t>
            </w:r>
          </w:p>
        </w:tc>
        <w:tc>
          <w:tcPr>
            <w:tcW w:w="7247" w:type="dxa"/>
            <w:gridSpan w:val="4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查（借）档案单位意见</w:t>
            </w:r>
          </w:p>
        </w:tc>
        <w:tc>
          <w:tcPr>
            <w:tcW w:w="7247" w:type="dxa"/>
            <w:gridSpan w:val="4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主管领导签字：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67" w:type="dxa"/>
            <w:vMerge w:val="restar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1393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档案主管部门意见</w:t>
            </w:r>
          </w:p>
        </w:tc>
        <w:tc>
          <w:tcPr>
            <w:tcW w:w="7247" w:type="dxa"/>
            <w:gridSpan w:val="4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主管领导签字：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067" w:type="dxa"/>
            <w:vMerge w:val="continue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档案分管领导意见</w:t>
            </w:r>
          </w:p>
        </w:tc>
        <w:tc>
          <w:tcPr>
            <w:tcW w:w="7247" w:type="dxa"/>
            <w:gridSpan w:val="4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分管领导签字：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67" w:type="dxa"/>
            <w:vMerge w:val="continue"/>
          </w:tcPr>
          <w:p>
            <w:pPr>
              <w:pStyle w:val="5"/>
              <w:spacing w:line="560" w:lineRule="exact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档案室办理情况</w:t>
            </w:r>
          </w:p>
        </w:tc>
        <w:tc>
          <w:tcPr>
            <w:tcW w:w="7247" w:type="dxa"/>
            <w:gridSpan w:val="4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kern w:val="2"/>
                <w14:textFill>
                  <w14:solidFill>
                    <w14:schemeClr w14:val="tx1"/>
                  </w14:solidFill>
                </w14:textFill>
              </w:rPr>
              <w:t>经办人签字：                    年   月  日</w:t>
            </w:r>
          </w:p>
        </w:tc>
      </w:tr>
    </w:tbl>
    <w:p>
      <w:pPr>
        <w:spacing w:line="340" w:lineRule="exact"/>
        <w:ind w:left="735" w:hanging="735" w:hangingChars="3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说明：1、本表须逐栏填写，因特殊情况需要借阅或复制干部档案的，应在“查（借）档案事由”、“查档内容或借档时限”内详细说明。</w:t>
      </w:r>
    </w:p>
    <w:p>
      <w:pPr>
        <w:spacing w:line="3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2、查档对象和查档人员在3人以上的另附名单，并在所附名单上加盖公章。</w:t>
      </w:r>
    </w:p>
    <w:p>
      <w:pPr>
        <w:spacing w:line="340" w:lineRule="exact"/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3、查档单位领导签批之日起5个工作日内有效，借阅档案须在10个工作日内归还。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2BD9"/>
    <w:rsid w:val="12197FCB"/>
    <w:rsid w:val="7C6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Alison</cp:lastModifiedBy>
  <dcterms:modified xsi:type="dcterms:W3CDTF">2020-05-12T08:53:08Z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